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rPr>
          <w:rFonts w:hint="eastAsia" w:ascii="黑体" w:hAnsi="黑体" w:eastAsia="黑体" w:cs="黑体"/>
          <w:color w:val="auto"/>
          <w:sz w:val="32"/>
          <w:szCs w:val="32"/>
        </w:rPr>
      </w:pPr>
      <w:r>
        <w:rPr>
          <w:rFonts w:hint="eastAsia" w:ascii="黑体" w:hAnsi="黑体" w:eastAsia="黑体" w:cs="黑体"/>
          <w:color w:val="auto"/>
          <w:kern w:val="0"/>
          <w:sz w:val="32"/>
          <w:szCs w:val="32"/>
        </w:rPr>
        <w:t>附件1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6"/>
          <w:szCs w:val="36"/>
        </w:rPr>
      </w:pPr>
      <w:bookmarkStart w:id="0" w:name="_GoBack"/>
      <w:r>
        <w:rPr>
          <w:rFonts w:hint="eastAsia" w:ascii="方正小标宋简体" w:hAnsi="方正小标宋简体" w:eastAsia="方正小标宋简体" w:cs="方正小标宋简体"/>
          <w:color w:val="auto"/>
          <w:sz w:val="36"/>
          <w:szCs w:val="36"/>
          <w:lang w:eastAsia="zh-CN"/>
        </w:rPr>
        <w:t>应当</w:t>
      </w:r>
      <w:r>
        <w:rPr>
          <w:rFonts w:hint="eastAsia" w:ascii="方正小标宋简体" w:hAnsi="方正小标宋简体" w:eastAsia="方正小标宋简体" w:cs="方正小标宋简体"/>
          <w:color w:val="auto"/>
          <w:sz w:val="36"/>
          <w:szCs w:val="36"/>
        </w:rPr>
        <w:t>修建防空地下室的民用建筑范围</w:t>
      </w:r>
    </w:p>
    <w:bookmarkEnd w:id="0"/>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color w:val="auto"/>
          <w:sz w:val="21"/>
        </w:rPr>
      </w:pPr>
      <w:r>
        <w:rPr>
          <w:rFonts w:hint="eastAsia" w:ascii="仿宋_GB2312" w:hAnsi="仿宋_GB2312" w:eastAsia="仿宋_GB2312"/>
          <w:color w:val="auto"/>
          <w:lang w:val="en-US" w:eastAsia="zh-CN"/>
        </w:rPr>
        <w:t xml:space="preserve">    </w:t>
      </w:r>
      <w:r>
        <w:rPr>
          <w:rFonts w:hint="eastAsia" w:ascii="仿宋_GB2312" w:hAnsi="仿宋_GB2312" w:eastAsia="仿宋_GB2312"/>
          <w:color w:val="auto"/>
          <w:sz w:val="21"/>
          <w:lang w:val="en-US" w:eastAsia="zh-CN"/>
        </w:rPr>
        <w:t>应当</w:t>
      </w:r>
      <w:r>
        <w:rPr>
          <w:rFonts w:hint="eastAsia" w:ascii="仿宋_GB2312" w:hAnsi="仿宋_GB2312" w:eastAsia="仿宋_GB2312"/>
          <w:color w:val="auto"/>
          <w:sz w:val="21"/>
        </w:rPr>
        <w:t>修建防空地下室的民用建筑分为两大类，一是居民住宅类；二是其他民用建筑类。其他民用建筑类一般可分为其他住宅类、行政办公类、司法类、文教类、体育类、医疗类、科研类、商业类、交通类、展览类、观演类、</w:t>
      </w:r>
      <w:r>
        <w:rPr>
          <w:rFonts w:hint="eastAsia" w:ascii="仿宋_GB2312" w:hAnsi="仿宋_GB2312" w:eastAsia="仿宋_GB2312"/>
          <w:color w:val="auto"/>
          <w:sz w:val="21"/>
          <w:highlight w:val="none"/>
        </w:rPr>
        <w:t>通</w:t>
      </w:r>
      <w:r>
        <w:rPr>
          <w:rFonts w:hint="eastAsia" w:ascii="仿宋_GB2312" w:hAnsi="仿宋_GB2312" w:eastAsia="仿宋_GB2312"/>
          <w:color w:val="auto"/>
          <w:sz w:val="21"/>
          <w:highlight w:val="none"/>
          <w:lang w:val="en-US" w:eastAsia="zh-CN"/>
        </w:rPr>
        <w:t>信</w:t>
      </w:r>
      <w:r>
        <w:rPr>
          <w:rFonts w:hint="eastAsia" w:ascii="仿宋_GB2312" w:hAnsi="仿宋_GB2312" w:eastAsia="仿宋_GB2312"/>
          <w:color w:val="auto"/>
          <w:sz w:val="21"/>
          <w:highlight w:val="none"/>
        </w:rPr>
        <w:t>广</w:t>
      </w:r>
      <w:r>
        <w:rPr>
          <w:rFonts w:hint="eastAsia" w:ascii="仿宋_GB2312" w:hAnsi="仿宋_GB2312" w:eastAsia="仿宋_GB2312"/>
          <w:color w:val="auto"/>
          <w:sz w:val="21"/>
        </w:rPr>
        <w:t>播类、生活服务类、宗教民政类。相应典型建筑类型见下表：</w:t>
      </w:r>
    </w:p>
    <w:tbl>
      <w:tblPr>
        <w:tblStyle w:val="2"/>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759"/>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6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b/>
                <w:bCs/>
                <w:color w:val="auto"/>
                <w:sz w:val="28"/>
              </w:rPr>
            </w:pPr>
            <w:r>
              <w:rPr>
                <w:rFonts w:hint="eastAsia" w:ascii="仿宋_GB2312" w:hAnsi="仿宋_GB2312" w:eastAsia="仿宋_GB2312"/>
                <w:b/>
                <w:bCs/>
                <w:color w:val="auto"/>
                <w:sz w:val="28"/>
              </w:rPr>
              <w:t>类别</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b/>
                <w:bCs/>
                <w:color w:val="auto"/>
                <w:sz w:val="28"/>
              </w:rPr>
            </w:pPr>
            <w:r>
              <w:rPr>
                <w:rFonts w:hint="eastAsia" w:ascii="仿宋_GB2312" w:hAnsi="仿宋_GB2312" w:eastAsia="仿宋_GB2312"/>
                <w:b/>
                <w:bCs/>
                <w:color w:val="auto"/>
                <w:sz w:val="28"/>
              </w:rPr>
              <w:t>典型建筑类型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36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居民住宅类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lang w:eastAsia="zh-CN"/>
              </w:rPr>
              <w:t>居住</w:t>
            </w:r>
            <w:r>
              <w:rPr>
                <w:rFonts w:hint="eastAsia" w:ascii="仿宋_GB2312" w:hAnsi="仿宋_GB2312" w:eastAsia="仿宋_GB2312"/>
                <w:color w:val="auto"/>
                <w:sz w:val="21"/>
                <w:highlight w:val="none"/>
                <w:lang w:eastAsia="zh-CN"/>
              </w:rPr>
              <w:t>用地上</w:t>
            </w:r>
            <w:r>
              <w:rPr>
                <w:rFonts w:hint="eastAsia" w:ascii="仿宋_GB2312" w:hAnsi="仿宋_GB2312" w:eastAsia="仿宋_GB2312"/>
                <w:color w:val="auto"/>
                <w:sz w:val="21"/>
                <w:lang w:eastAsia="zh-CN"/>
              </w:rPr>
              <w:t>的各类</w:t>
            </w:r>
            <w:r>
              <w:rPr>
                <w:rFonts w:hint="eastAsia" w:ascii="仿宋_GB2312" w:hAnsi="仿宋_GB2312" w:eastAsia="仿宋_GB2312"/>
                <w:color w:val="auto"/>
                <w:sz w:val="21"/>
              </w:rPr>
              <w:t>住宅及计入公摊面积的配套设施等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其他民用建筑类</w:t>
            </w: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其他</w:t>
            </w:r>
            <w:r>
              <w:rPr>
                <w:rFonts w:hint="eastAsia" w:ascii="仿宋_GB2312" w:hAnsi="仿宋_GB2312" w:eastAsia="仿宋_GB2312"/>
                <w:color w:val="auto"/>
                <w:sz w:val="21"/>
                <w:lang w:val="en-US" w:eastAsia="zh-CN"/>
              </w:rPr>
              <w:t>住宅</w:t>
            </w:r>
            <w:r>
              <w:rPr>
                <w:rFonts w:hint="eastAsia" w:ascii="仿宋_GB2312" w:hAnsi="仿宋_GB2312" w:eastAsia="仿宋_GB2312"/>
                <w:color w:val="auto"/>
                <w:sz w:val="21"/>
              </w:rPr>
              <w:t>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lang w:eastAsia="zh-CN"/>
              </w:rPr>
              <w:t>居住</w:t>
            </w:r>
            <w:r>
              <w:rPr>
                <w:rFonts w:hint="eastAsia" w:ascii="仿宋_GB2312" w:hAnsi="仿宋_GB2312" w:eastAsia="仿宋_GB2312"/>
                <w:color w:val="auto"/>
                <w:sz w:val="21"/>
                <w:highlight w:val="none"/>
                <w:lang w:eastAsia="zh-CN"/>
              </w:rPr>
              <w:t>用地上</w:t>
            </w:r>
            <w:r>
              <w:rPr>
                <w:rFonts w:hint="eastAsia" w:ascii="仿宋_GB2312" w:hAnsi="仿宋_GB2312" w:eastAsia="仿宋_GB2312"/>
                <w:color w:val="auto"/>
                <w:sz w:val="21"/>
                <w:lang w:eastAsia="zh-CN"/>
              </w:rPr>
              <w:t>未计入公摊面积的配套设施、非居住</w:t>
            </w:r>
            <w:r>
              <w:rPr>
                <w:rFonts w:hint="eastAsia" w:ascii="仿宋_GB2312" w:hAnsi="仿宋_GB2312" w:eastAsia="仿宋_GB2312"/>
                <w:color w:val="auto"/>
                <w:sz w:val="21"/>
                <w:highlight w:val="none"/>
                <w:lang w:eastAsia="zh-CN"/>
              </w:rPr>
              <w:t>用地上</w:t>
            </w:r>
            <w:r>
              <w:rPr>
                <w:rFonts w:hint="eastAsia" w:ascii="仿宋_GB2312" w:hAnsi="仿宋_GB2312" w:eastAsia="仿宋_GB2312"/>
                <w:color w:val="auto"/>
                <w:sz w:val="21"/>
                <w:lang w:eastAsia="zh-CN"/>
              </w:rPr>
              <w:t>的</w:t>
            </w:r>
            <w:r>
              <w:rPr>
                <w:rFonts w:hint="eastAsia" w:ascii="仿宋_GB2312" w:hAnsi="仿宋_GB2312" w:eastAsia="仿宋_GB2312"/>
                <w:color w:val="auto"/>
                <w:sz w:val="21"/>
              </w:rPr>
              <w:t>公寓、宿舍及其配套设施等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行政办公类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党政机关、企业、事业单位、社会团体、社区办公楼等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司法类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shd w:val="clear" w:color="auto" w:fill="FFFFFF"/>
              </w:rPr>
              <w:t>看守所、拘留所、强制隔离戒毒所、监狱等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文教类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幼儿园、学校、图书馆、文化馆、档案馆、文化中心等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体育类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体育场（馆）、游泳馆、健身房等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医疗类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医院、急救中心、血液中心、疗养院等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科研类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科研楼、实验楼</w:t>
            </w:r>
            <w:r>
              <w:rPr>
                <w:rFonts w:hint="eastAsia" w:ascii="仿宋_GB2312" w:hAnsi="仿宋_GB2312" w:eastAsia="仿宋_GB2312"/>
                <w:color w:val="auto"/>
                <w:sz w:val="21"/>
                <w:lang w:eastAsia="zh-CN"/>
              </w:rPr>
              <w:t>、研发中心</w:t>
            </w:r>
            <w:r>
              <w:rPr>
                <w:rFonts w:hint="eastAsia" w:ascii="仿宋_GB2312" w:hAnsi="仿宋_GB2312" w:eastAsia="仿宋_GB2312"/>
                <w:color w:val="auto"/>
                <w:sz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商业类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商场、餐馆、宾馆、酒店、招待所</w:t>
            </w:r>
            <w:r>
              <w:rPr>
                <w:rFonts w:hint="eastAsia" w:ascii="仿宋_GB2312" w:hAnsi="仿宋_GB2312" w:eastAsia="仿宋_GB2312"/>
                <w:color w:val="auto"/>
                <w:sz w:val="21"/>
                <w:lang w:val="en-US" w:eastAsia="zh-CN"/>
              </w:rPr>
              <w:t>、仓库</w:t>
            </w:r>
            <w:r>
              <w:rPr>
                <w:rFonts w:hint="eastAsia" w:ascii="仿宋_GB2312" w:hAnsi="仿宋_GB2312" w:eastAsia="仿宋_GB2312"/>
                <w:color w:val="auto"/>
                <w:sz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交通类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highlight w:val="none"/>
                <w:shd w:val="clear" w:color="auto" w:fill="FFFFFF"/>
              </w:rPr>
              <w:t>汽车客运站</w:t>
            </w:r>
            <w:r>
              <w:rPr>
                <w:rFonts w:hint="eastAsia" w:ascii="仿宋_GB2312" w:hAnsi="仿宋_GB2312" w:eastAsia="仿宋_GB2312"/>
                <w:color w:val="auto"/>
                <w:sz w:val="21"/>
                <w:shd w:val="clear" w:color="auto" w:fill="FFFFFF"/>
              </w:rPr>
              <w:t>、港口客运站、铁路旅客站、空港航站楼、地铁站</w:t>
            </w:r>
            <w:r>
              <w:rPr>
                <w:rFonts w:hint="eastAsia" w:ascii="仿宋_GB2312" w:hAnsi="仿宋_GB2312" w:eastAsia="仿宋_GB2312"/>
                <w:color w:val="auto"/>
                <w:sz w:val="21"/>
              </w:rPr>
              <w:t>、地上车库等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展览类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展览馆、博物馆、纪念馆等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观演类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shd w:val="clear" w:color="auto" w:fill="FFFFFF"/>
              </w:rPr>
              <w:t>剧院、电影院、博物馆、展览馆、音乐厅</w:t>
            </w:r>
            <w:r>
              <w:rPr>
                <w:rFonts w:hint="eastAsia" w:ascii="仿宋_GB2312" w:hAnsi="仿宋_GB2312" w:eastAsia="仿宋_GB2312"/>
                <w:color w:val="auto"/>
                <w:sz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highlight w:val="none"/>
              </w:rPr>
              <w:t>通</w:t>
            </w:r>
            <w:r>
              <w:rPr>
                <w:rFonts w:hint="eastAsia" w:ascii="仿宋_GB2312" w:hAnsi="仿宋_GB2312" w:eastAsia="仿宋_GB2312"/>
                <w:color w:val="auto"/>
                <w:sz w:val="21"/>
                <w:highlight w:val="none"/>
                <w:lang w:val="en-US" w:eastAsia="zh-CN"/>
              </w:rPr>
              <w:t>信</w:t>
            </w:r>
            <w:r>
              <w:rPr>
                <w:rFonts w:hint="eastAsia" w:ascii="仿宋_GB2312" w:hAnsi="仿宋_GB2312" w:eastAsia="仿宋_GB2312"/>
                <w:color w:val="auto"/>
                <w:sz w:val="21"/>
              </w:rPr>
              <w:t>广播类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广播台、电视台等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生活服务类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食堂、菜场、浴室等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60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宗教民政类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color w:val="auto"/>
                <w:sz w:val="21"/>
              </w:rPr>
            </w:pPr>
            <w:r>
              <w:rPr>
                <w:rFonts w:hint="eastAsia" w:ascii="仿宋_GB2312" w:hAnsi="仿宋_GB2312" w:eastAsia="仿宋_GB2312"/>
                <w:color w:val="auto"/>
                <w:sz w:val="21"/>
              </w:rPr>
              <w:t>教堂、庙宇、殡葬场所等</w:t>
            </w:r>
          </w:p>
        </w:tc>
      </w:tr>
    </w:tbl>
    <w:p>
      <w:pPr>
        <w:keepNext w:val="0"/>
        <w:keepLines w:val="0"/>
        <w:pageBreakBefore w:val="0"/>
        <w:widowControl w:val="0"/>
        <w:kinsoku/>
        <w:wordWrap/>
        <w:overflowPunct/>
        <w:topLinePunct w:val="0"/>
        <w:autoSpaceDE/>
        <w:autoSpaceDN/>
        <w:bidi w:val="0"/>
        <w:adjustRightInd w:val="0"/>
        <w:snapToGrid w:val="0"/>
        <w:spacing w:line="300" w:lineRule="auto"/>
        <w:ind w:left="1254" w:leftChars="138" w:right="0" w:rightChars="0" w:hanging="840" w:hangingChars="400"/>
        <w:textAlignment w:val="auto"/>
        <w:rPr>
          <w:rFonts w:hint="eastAsia" w:ascii="仿宋_GB2312" w:hAnsi="仿宋_GB2312" w:eastAsia="仿宋_GB2312"/>
          <w:color w:val="auto"/>
          <w:sz w:val="21"/>
        </w:rPr>
      </w:pPr>
      <w:r>
        <w:rPr>
          <w:rFonts w:hint="eastAsia" w:ascii="仿宋_GB2312" w:hAnsi="仿宋_GB2312" w:eastAsia="仿宋_GB2312"/>
          <w:color w:val="auto"/>
          <w:sz w:val="21"/>
        </w:rPr>
        <w:t>备注：1.民用建筑类型包括且不限于以上所列的建筑类型，其他建筑类型由设区市人民防空主管部门参照同类建筑类型进行认定、公告并报省</w:t>
      </w:r>
      <w:r>
        <w:rPr>
          <w:rFonts w:hint="eastAsia" w:hAnsi="仿宋_GB2312"/>
          <w:color w:val="auto"/>
          <w:sz w:val="21"/>
          <w:lang w:eastAsia="zh-CN"/>
        </w:rPr>
        <w:t>人民防空主管部门</w:t>
      </w:r>
      <w:r>
        <w:rPr>
          <w:rFonts w:hint="eastAsia" w:ascii="仿宋_GB2312" w:hAnsi="仿宋_GB2312" w:eastAsia="仿宋_GB2312"/>
          <w:color w:val="auto"/>
          <w:sz w:val="21"/>
        </w:rPr>
        <w:t>备案</w:t>
      </w:r>
      <w:r>
        <w:rPr>
          <w:rFonts w:hint="eastAsia" w:hAnsi="仿宋_GB2312"/>
          <w:color w:val="auto"/>
          <w:sz w:val="21"/>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left="1260" w:leftChars="0" w:right="0" w:rightChars="0" w:hanging="1260" w:hangingChars="600"/>
        <w:textAlignment w:val="auto"/>
        <w:rPr>
          <w:rFonts w:hint="eastAsia" w:ascii="仿宋_GB2312" w:hAnsi="仿宋_GB2312" w:eastAsia="仿宋_GB2312"/>
          <w:color w:val="auto"/>
          <w:sz w:val="21"/>
        </w:rPr>
      </w:pPr>
      <w:r>
        <w:rPr>
          <w:rFonts w:hint="eastAsia" w:ascii="仿宋_GB2312" w:hAnsi="仿宋_GB2312" w:eastAsia="仿宋_GB2312"/>
          <w:color w:val="auto"/>
          <w:sz w:val="21"/>
        </w:rPr>
        <w:t xml:space="preserve">     </w:t>
      </w:r>
      <w:r>
        <w:rPr>
          <w:rFonts w:hint="eastAsia" w:hAnsi="仿宋_GB2312"/>
          <w:color w:val="auto"/>
          <w:sz w:val="21"/>
          <w:lang w:val="en-US" w:eastAsia="zh-CN"/>
        </w:rPr>
        <w:t xml:space="preserve">     </w:t>
      </w:r>
      <w:r>
        <w:rPr>
          <w:rFonts w:hint="eastAsia" w:ascii="仿宋_GB2312" w:hAnsi="仿宋_GB2312" w:eastAsia="仿宋_GB2312"/>
          <w:color w:val="auto"/>
          <w:sz w:val="21"/>
        </w:rPr>
        <w:t>2.工业建设项目中的食堂、宿舍、产品研发用房以及办公会议用房等非生产性用房，应当修建防空地下室。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990BDB"/>
    <w:rsid w:val="26990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0"/>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2021-01-14T06:31:00Z</dcterms:created>
  <dc:creator>★栀子夏日★</dc:creator>
  <cp:lastModifiedBy>★栀子夏日★</cp:lastModifiedBy>
  <dcterms:modified xsi:type="dcterms:W3CDTF">2021-01-14T06:37:41Z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